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B9" w:rsidRPr="008D53B9" w:rsidRDefault="008D53B9" w:rsidP="00C270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8D53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</w:t>
      </w:r>
      <w:r w:rsidR="00A436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8D53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-2018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yılı Erasmus+ </w:t>
      </w:r>
      <w:r w:rsidR="00A436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DUSK </w:t>
      </w:r>
      <w:r w:rsid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Konsorsiyum Staj </w:t>
      </w:r>
      <w:r w:rsidR="00A436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Hareketliliği ve </w:t>
      </w:r>
      <w:r w:rsidR="00A4369E" w:rsidRPr="003F58A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2018-2019</w:t>
      </w:r>
      <w:r w:rsidR="00A4369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Erasmus+ Staj Hareketliliği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yurt dışında “</w:t>
      </w:r>
      <w:r w:rsidRPr="008D53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Staj Yapmak”</w:t>
      </w:r>
      <w:r w:rsidR="00C2707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isteyen öğrencilerimiz için Erasmus+ Hareketlilik Programları başvuru süreci başlamıştır.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 Erasmus Koordinatörlüğü tarafından kararlaştırılan başvuru süreci şu şekildedir:</w:t>
      </w:r>
    </w:p>
    <w:p w:rsidR="000A07D0" w:rsidRDefault="008D53B9" w:rsidP="00950A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7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="004308B9" w:rsidRPr="000A07D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 M</w:t>
      </w:r>
      <w:r w:rsidR="004308B9"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art</w:t>
      </w:r>
      <w:r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201</w:t>
      </w:r>
      <w:r w:rsidR="004308B9"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A07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tarihinde başlayıp, </w:t>
      </w:r>
      <w:r w:rsidR="004308B9" w:rsidRPr="000A07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26</w:t>
      </w:r>
      <w:r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4308B9"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Mart</w:t>
      </w:r>
      <w:r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201</w:t>
      </w:r>
      <w:r w:rsidR="004308B9"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Pr="000A07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A07D0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 mesai bitiminde</w:t>
      </w:r>
      <w:r w:rsidR="000A07D0" w:rsidRPr="000A07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A07D0">
        <w:rPr>
          <w:rFonts w:ascii="Times New Roman" w:eastAsia="Times New Roman" w:hAnsi="Times New Roman" w:cs="Times New Roman"/>
          <w:sz w:val="24"/>
          <w:szCs w:val="24"/>
          <w:lang w:eastAsia="tr-TR"/>
        </w:rPr>
        <w:t>son bulacaktır.</w:t>
      </w:r>
    </w:p>
    <w:p w:rsidR="00F3160D" w:rsidRPr="000A07D0" w:rsidRDefault="008D53B9" w:rsidP="00950A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7D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Programa tam zamanlı tüm öğrencilerimiz başvurabilir.</w:t>
      </w:r>
    </w:p>
    <w:p w:rsidR="004308B9" w:rsidRPr="00F3160D" w:rsidRDefault="008D53B9" w:rsidP="000A07D0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Programdan yararlanabilmek için başvuruda bulunacak olan ön lisans ve lisans</w:t>
      </w:r>
      <w:r w:rsidR="00C27077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öğrencilerinin son transkript notları </w:t>
      </w:r>
      <w:r w:rsidR="003F58A9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(GANO) 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4 üzerinden en az 2,20 (100’lük sistemde karşılığı</w:t>
      </w:r>
      <w:r w:rsidR="00C27077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belirtilecek), yüksek lisans ve doktora öğrencilerinin ise 4 üzerinden 2,5 olmalıdır.</w:t>
      </w:r>
    </w:p>
    <w:p w:rsidR="008D53B9" w:rsidRPr="004308B9" w:rsidRDefault="008D53B9" w:rsidP="001A413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308B9">
        <w:rPr>
          <w:rFonts w:ascii="Times New Roman" w:eastAsia="Times New Roman" w:hAnsi="Times New Roman" w:cs="Times New Roman"/>
          <w:sz w:val="24"/>
          <w:szCs w:val="24"/>
          <w:lang w:eastAsia="tr-TR"/>
        </w:rPr>
        <w:t>Staj hareketliliği için yabancı dil baraj puanı Beden Eğitimi ve Spor Yüksekokulu,</w:t>
      </w:r>
      <w:r w:rsidR="00C27077" w:rsidRPr="004308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08B9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 Sanatlar Fakültesi</w:t>
      </w:r>
      <w:r w:rsidR="004308B9">
        <w:rPr>
          <w:rFonts w:ascii="Times New Roman" w:eastAsia="Times New Roman" w:hAnsi="Times New Roman" w:cs="Times New Roman"/>
          <w:sz w:val="24"/>
          <w:szCs w:val="24"/>
          <w:lang w:eastAsia="tr-TR"/>
        </w:rPr>
        <w:t>, Eğitim Fakültesi Güzel Sanatlar Bölümü</w:t>
      </w:r>
      <w:r w:rsidRPr="004308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Meslek Yüksekokulları öğrencileri için 100 üzerinden 50,</w:t>
      </w:r>
      <w:r w:rsid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08B9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Öğretmenliği ve Mütercim Tercümanlık Bölümü öğrencileri için 100 üzerinden 80,</w:t>
      </w:r>
      <w:r w:rsid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308B9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bölümler için 100 üzerinden 60 olarak belirlenmiştir.</w:t>
      </w:r>
    </w:p>
    <w:p w:rsidR="008D53B9" w:rsidRPr="008D53B9" w:rsidRDefault="004308B9" w:rsidP="00C27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C43A8A">
        <w:rPr>
          <w:rFonts w:ascii="Times New Roman" w:eastAsia="Times New Roman" w:hAnsi="Times New Roman" w:cs="Times New Roman"/>
          <w:sz w:val="24"/>
          <w:szCs w:val="24"/>
          <w:lang w:eastAsia="tr-TR"/>
        </w:rPr>
        <w:t>cak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2016’dan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itibaren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son iki yıl içinde Üniversitemiz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Diller Yüksekokulu’nun yapmış olduğu yeterlilik sınavından (proficiency test) 100</w:t>
      </w:r>
      <w:r w:rsidR="00C43A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üzerinden en az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belirtilen puanları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almış olanlar ya da YDS ve ÖSYM tarafından eşdeğerliliği kabul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edilmiş yabancı sınavlardan </w:t>
      </w:r>
      <w:r w:rsidR="0000744B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 az </w:t>
      </w:r>
      <w:r w:rsidR="000074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belirtilen puanları </w:t>
      </w:r>
      <w:r w:rsidR="0000744B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almış olanlar </w:t>
      </w:r>
      <w:r w:rsidR="000074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programa </w:t>
      </w:r>
      <w:r w:rsidR="00DD7586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başvurabilirler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. Söz konusu öğrenciler almış oldukları puanlara göre sıralamaya gireceklerdir.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Eşdeğerlik tablosu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için bkz. </w:t>
      </w:r>
      <w:r w:rsidR="008D53B9" w:rsidRPr="008D53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http://osym.gov.tr/dosya/1-59085/h/yabanci-dil-sinavlariesdegerlikleri.</w:t>
      </w:r>
    </w:p>
    <w:p w:rsidR="008D53B9" w:rsidRDefault="00F3160D" w:rsidP="00C27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Staj H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areketliliği için 30 kişilik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DUSK Konsorsiyum Staj Hareketliliği için 10 kişilik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kontenjan planlanmaktadır. Öğrencilerimizin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başvurularına göre kontenjan sayıları değişebilecektir. Staj yapmak isteyen öğrencilerimiz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staj yapacakları ülke (Avrupa Birliği) ve kurumları (iş yeri, enstitü veya okul) kendileri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belirleyip, Erasmus Koordinatörlüğüne bildireceklerdir.</w:t>
      </w:r>
    </w:p>
    <w:p w:rsidR="00C43A8A" w:rsidRPr="00C43A8A" w:rsidRDefault="00C43A8A" w:rsidP="00C27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C43A8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YTB burslusu olarak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Üniversitemizde öğrenim gören yabancı uyruklu </w:t>
      </w:r>
      <w:r w:rsidRPr="00C43A8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öğrencilerin Erasmus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programından faydalanmaları durumunda, </w:t>
      </w:r>
      <w:r w:rsidRPr="00C43A8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YTB burs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larında </w:t>
      </w:r>
      <w:r w:rsidRPr="00C43A8A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kesi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nti yapılabilecektir.</w:t>
      </w:r>
    </w:p>
    <w:p w:rsidR="008D53B9" w:rsidRPr="008D53B9" w:rsidRDefault="0000744B" w:rsidP="00C2707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aşvuruların değerlendirilmesinde kullanılacak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3B9"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ölçütler ve ağırlıklı puanlar şunlardır:</w:t>
      </w:r>
    </w:p>
    <w:p w:rsidR="00CC3ACF" w:rsidRDefault="008D53B9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başarı düzeyi : %50</w:t>
      </w:r>
      <w:r w:rsidR="00DD7586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(Toplam 100 puan üzerinden)</w:t>
      </w:r>
    </w:p>
    <w:p w:rsidR="00CC3ACF" w:rsidRDefault="008D53B9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Dil seviyesi : %50</w:t>
      </w:r>
      <w:r w:rsidR="00DD7586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(Toplam 100 puan üzerinden)</w:t>
      </w:r>
    </w:p>
    <w:p w:rsidR="00CC3ACF" w:rsidRDefault="00596028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Engelli öğrencilere (</w:t>
      </w:r>
      <w:r w:rsidR="008D53B9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engelliliğin belgelenmesi kaydıyla) +10 puan</w:t>
      </w:r>
    </w:p>
    <w:p w:rsidR="00CC3ACF" w:rsidRDefault="00DD7586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2828 sayılı Sosyal Hizmetler Kanunu kapsamında haklarında koruma, bakım veya barınma kararı alınmış öğrencilere (belgelendirmek kaydıyla) +10 puan</w:t>
      </w:r>
      <w:r w:rsid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(DUSK hariç)</w:t>
      </w:r>
    </w:p>
    <w:p w:rsidR="00CC3ACF" w:rsidRDefault="008D53B9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Şehit ve Gazi çocuklarına +15 puan</w:t>
      </w:r>
    </w:p>
    <w:p w:rsidR="00CC3ACF" w:rsidRDefault="008D53B9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Daha önce yararlanma (hibeli veya hibesiz) : -10 puan</w:t>
      </w:r>
    </w:p>
    <w:p w:rsidR="00CC3ACF" w:rsidRDefault="008D53B9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Vatandaşı olunan ülkede hareketliliğe katılma: -10 puan</w:t>
      </w:r>
    </w:p>
    <w:p w:rsidR="00CC3ACF" w:rsidRDefault="00DD7586" w:rsidP="00C27077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Mazeretsiz AİBÜ, Yabancı Diller Yüksekokulunun açmış olduğu Yeterlilik Sınavına katılmama -5 puan</w:t>
      </w:r>
    </w:p>
    <w:p w:rsidR="00CC3ACF" w:rsidRDefault="00DD7586" w:rsidP="00CC3ACF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Hareketliliğe seçilen öğrenciler için: AİBÜ, Erasmus Koordinatörlüğü tarafından hareketlilikle ilgili olarak düzenlenen toplantı</w:t>
      </w:r>
      <w:r w:rsidR="00DE1BD8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lara/eğitimlere mazeretsiz katılmama -5 puan</w:t>
      </w:r>
    </w:p>
    <w:p w:rsidR="00F3160D" w:rsidRPr="00CC3ACF" w:rsidRDefault="008D53B9" w:rsidP="00CC3ACF">
      <w:pPr>
        <w:pStyle w:val="ListeParagraf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öğrenim kademesi içerisinde daha önceki bir seçim döneminde seçilmiş, fakat</w:t>
      </w:r>
      <w:r w:rsidR="00C27077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mücbir bir sebebe dayanmaksızın, faaliyetini gerçekleştirmemiş öğrenciler için, hak</w:t>
      </w:r>
      <w:r w:rsidR="00C27077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kazanmış olunmasına rağmen, faaliyetin gerçekleştirilmediği her faaliyet için -10 puan</w:t>
      </w:r>
      <w:r w:rsidR="00C27077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azaltma uygulanır.</w:t>
      </w:r>
    </w:p>
    <w:p w:rsidR="00F3160D" w:rsidRPr="00F3160D" w:rsidRDefault="008D53B9" w:rsidP="00F3583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yabancı dil puanına sahip olan öğrenciler</w:t>
      </w:r>
      <w:r w:rsidR="0000744B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0744B" w:rsidRPr="00F31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 Mart 2018</w:t>
      </w:r>
      <w:r w:rsidR="0000744B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aktif</w:t>
      </w:r>
      <w:r w:rsidR="00C27077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hale gelecek </w:t>
      </w:r>
      <w:r w:rsidRPr="00F316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http://erasmusbasvuru.ibu.edu.tr/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linkinden Erasmus+ Staj Hareketliliği</w:t>
      </w:r>
      <w:r w:rsidR="00F3160D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başvurularını yapacaklardır.</w:t>
      </w:r>
      <w:r w:rsidR="00F3160D"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D53B9" w:rsidRPr="00F3160D" w:rsidRDefault="008D53B9" w:rsidP="00CD15D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Başvurular </w:t>
      </w:r>
      <w:r w:rsidR="0000744B" w:rsidRPr="00F316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26</w:t>
      </w:r>
      <w:r w:rsidR="0000744B" w:rsidRPr="00F3160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Mart 2018 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 mesai bitiminde son bulacaktır.</w:t>
      </w:r>
    </w:p>
    <w:p w:rsidR="008D53B9" w:rsidRPr="008D53B9" w:rsidRDefault="008D53B9" w:rsidP="00C2707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Başvuruda bulunan öğrenciler başvuru belgesinin çıktısını ve onaylı son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transkript </w:t>
      </w:r>
      <w:r w:rsid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(GANO)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belgelerini başvuru tarihleri içinde Erasmus Koordinatörlüğüne teslim etmeleri</w:t>
      </w:r>
      <w:r w:rsidR="00C2707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gerekmektedir. Belgelerini </w:t>
      </w:r>
      <w:r w:rsid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 tarihinde </w:t>
      </w:r>
      <w:r w:rsidRPr="008D53B9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etmeyen öğrenciler değerlendirmeye alınmayacaklardır.</w:t>
      </w:r>
    </w:p>
    <w:p w:rsidR="008D53B9" w:rsidRDefault="008D53B9" w:rsidP="00DE1BD8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1BD8">
        <w:rPr>
          <w:rFonts w:ascii="Times New Roman" w:eastAsia="Times New Roman" w:hAnsi="Times New Roman" w:cs="Times New Roman"/>
          <w:sz w:val="24"/>
          <w:szCs w:val="24"/>
          <w:lang w:eastAsia="tr-TR"/>
        </w:rPr>
        <w:t>Hibe yetersizliğinden dolayı gidemeyecek olan öğrencilerimiz kendi maddi</w:t>
      </w:r>
      <w:r w:rsidR="00C27077" w:rsidRPr="00DE1B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E1BD8">
        <w:rPr>
          <w:rFonts w:ascii="Times New Roman" w:eastAsia="Times New Roman" w:hAnsi="Times New Roman" w:cs="Times New Roman"/>
          <w:sz w:val="24"/>
          <w:szCs w:val="24"/>
          <w:lang w:eastAsia="tr-TR"/>
        </w:rPr>
        <w:t>olanakları ile bu programdan yararlanabilir.</w:t>
      </w:r>
    </w:p>
    <w:p w:rsidR="00DE1BD8" w:rsidRDefault="00DE1BD8" w:rsidP="00DE1BD8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iki proje kapsamında seçim sonuçlarına itiraz edecek öğrencilerin itirazlarını </w:t>
      </w:r>
      <w:r w:rsidRPr="00CC3A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02</w:t>
      </w:r>
      <w:r w:rsidR="00CC3ACF" w:rsidRPr="00CC3A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Pr="00CC3A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04</w:t>
      </w:r>
      <w:r w:rsidR="00CC3ACF" w:rsidRPr="00CC3A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Pr="00CC3AC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tarihine kadar Erasmus </w:t>
      </w:r>
      <w:r w:rsid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oordinatörlüğüne </w:t>
      </w:r>
      <w:r w:rsid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 yoluyla yapmaları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gerekmektedir.</w:t>
      </w:r>
    </w:p>
    <w:p w:rsidR="00DE1BD8" w:rsidRPr="00DE1BD8" w:rsidRDefault="00DE1BD8" w:rsidP="00DE1BD8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160D" w:rsidRDefault="00F3160D" w:rsidP="00F3160D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DUSK Staj Hareketliliği 2017-1-TR-01-KA103-045531 sözleşme no</w:t>
      </w:r>
      <w:r w:rsid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F3160D">
        <w:rPr>
          <w:rFonts w:ascii="Times New Roman" w:eastAsia="Times New Roman" w:hAnsi="Times New Roman" w:cs="Times New Roman"/>
          <w:sz w:val="24"/>
          <w:szCs w:val="24"/>
          <w:lang w:eastAsia="tr-TR"/>
        </w:rPr>
        <w:t>lu bütçesinden karşılanacaktır.</w:t>
      </w:r>
    </w:p>
    <w:p w:rsidR="0075479D" w:rsidRDefault="00F3160D" w:rsidP="0036198E">
      <w:pPr>
        <w:pStyle w:val="ListeParagraf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5479D">
        <w:rPr>
          <w:rFonts w:ascii="Times New Roman" w:eastAsia="Times New Roman" w:hAnsi="Times New Roman" w:cs="Times New Roman"/>
          <w:sz w:val="24"/>
          <w:szCs w:val="24"/>
          <w:lang w:eastAsia="tr-TR"/>
        </w:rPr>
        <w:t>Staj Hareketliliği 2018-1-TR-01-KA103-050350 sözleşme no</w:t>
      </w:r>
      <w:r w:rsid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75479D">
        <w:rPr>
          <w:rFonts w:ascii="Times New Roman" w:eastAsia="Times New Roman" w:hAnsi="Times New Roman" w:cs="Times New Roman"/>
          <w:sz w:val="24"/>
          <w:szCs w:val="24"/>
          <w:lang w:eastAsia="tr-TR"/>
        </w:rPr>
        <w:t>lu bütçesinden karşılanacaktır.</w:t>
      </w:r>
    </w:p>
    <w:p w:rsidR="00DE1BD8" w:rsidRDefault="00DE1BD8" w:rsidP="00DE1BD8">
      <w:pPr>
        <w:pStyle w:val="ListeParagra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479D" w:rsidRPr="006C108E" w:rsidRDefault="00CC3ACF" w:rsidP="002A35FB">
      <w:pPr>
        <w:spacing w:before="100" w:beforeAutospacing="1" w:after="100" w:afterAutospacing="1" w:line="240" w:lineRule="auto"/>
        <w:ind w:firstLine="708"/>
        <w:jc w:val="both"/>
      </w:pP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Erasmus+ Staj Hareketliliği kapsamında, ü</w:t>
      </w:r>
      <w:r w:rsidR="00DE1BD8"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lke grupları ve bu ülkelere gidecek öğrencilere verilecek aylık hibe miktarları aşağıdaki tabloda yer almaktadır:</w:t>
      </w:r>
    </w:p>
    <w:tbl>
      <w:tblPr>
        <w:tblW w:w="7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4140"/>
        <w:gridCol w:w="1531"/>
      </w:tblGrid>
      <w:tr w:rsidR="0075479D" w:rsidRPr="0075479D" w:rsidTr="00CC3ACF">
        <w:trPr>
          <w:trHeight w:val="900"/>
          <w:jc w:val="center"/>
        </w:trPr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ACF">
              <w:rPr>
                <w:rFonts w:ascii="Times New Roman" w:hAnsi="Times New Roman" w:cs="Times New Roman"/>
                <w:b/>
                <w:bCs/>
                <w:color w:val="000000"/>
              </w:rPr>
              <w:t>Ülke Grupları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ACF">
              <w:rPr>
                <w:rFonts w:ascii="Times New Roman" w:hAnsi="Times New Roman" w:cs="Times New Roman"/>
                <w:b/>
                <w:bCs/>
                <w:color w:val="000000"/>
              </w:rPr>
              <w:t>Hareketlilikte Misafir Olunan Ülkeler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ACF">
              <w:rPr>
                <w:rFonts w:ascii="Times New Roman" w:hAnsi="Times New Roman" w:cs="Times New Roman"/>
                <w:b/>
                <w:bCs/>
                <w:color w:val="000000"/>
              </w:rPr>
              <w:t>Aylık Hibe</w:t>
            </w:r>
          </w:p>
          <w:p w:rsidR="0075479D" w:rsidRPr="00CC3ACF" w:rsidRDefault="0075479D" w:rsidP="00A55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A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Staj </w:t>
            </w:r>
          </w:p>
          <w:p w:rsidR="0075479D" w:rsidRPr="00CC3ACF" w:rsidRDefault="0075479D" w:rsidP="00A55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ACF">
              <w:rPr>
                <w:rFonts w:ascii="Times New Roman" w:hAnsi="Times New Roman" w:cs="Times New Roman"/>
                <w:b/>
                <w:bCs/>
                <w:color w:val="000000"/>
              </w:rPr>
              <w:t>(Avro)</w:t>
            </w:r>
          </w:p>
        </w:tc>
      </w:tr>
      <w:tr w:rsidR="0075479D" w:rsidRPr="0075479D" w:rsidTr="00CC3ACF">
        <w:trPr>
          <w:trHeight w:val="1335"/>
          <w:jc w:val="center"/>
        </w:trPr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C3ACF">
              <w:rPr>
                <w:rFonts w:ascii="Times New Roman" w:hAnsi="Times New Roman" w:cs="Times New Roman"/>
                <w:color w:val="000000"/>
              </w:rPr>
              <w:t>1. ve 2. Grup Program Ülkeleri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C3ACF">
              <w:rPr>
                <w:rFonts w:ascii="Times New Roman" w:hAnsi="Times New Roman" w:cs="Times New Roman"/>
                <w:color w:val="000000"/>
              </w:rPr>
              <w:t xml:space="preserve">Birleşik Krallık, Danimarka, Finlandiya, İrlanda, İsveç, İzlanda, </w:t>
            </w:r>
            <w:r w:rsidRPr="00CC3ACF">
              <w:rPr>
                <w:rFonts w:ascii="Times New Roman" w:hAnsi="Times New Roman" w:cs="Times New Roman"/>
              </w:rPr>
              <w:t>Lihtenştayn</w:t>
            </w:r>
            <w:r w:rsidRPr="00CC3ACF">
              <w:rPr>
                <w:rFonts w:ascii="Times New Roman" w:hAnsi="Times New Roman" w:cs="Times New Roman"/>
                <w:color w:val="000000"/>
              </w:rPr>
              <w:t>, Lüksemburg, Norveç, Almanya, Avusturya, Belçika, Fransa, Güney Kıbrıs, Hollanda, İspanya, İtalya, Malta, Portekiz, Yunanistan,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ACF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75479D" w:rsidRPr="0075479D" w:rsidTr="00CC3ACF">
        <w:trPr>
          <w:trHeight w:val="1335"/>
          <w:jc w:val="center"/>
        </w:trPr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C3ACF">
              <w:rPr>
                <w:rFonts w:ascii="Times New Roman" w:hAnsi="Times New Roman" w:cs="Times New Roman"/>
                <w:color w:val="000000"/>
              </w:rPr>
              <w:t>3. Grup Program Ülkeleri</w:t>
            </w:r>
          </w:p>
        </w:tc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C3ACF">
              <w:rPr>
                <w:rFonts w:ascii="Times New Roman" w:hAnsi="Times New Roman" w:cs="Times New Roman"/>
                <w:color w:val="000000"/>
              </w:rPr>
              <w:t>Bulgaristan, Çek Cumhuriyeti, Estonya, Hırvatistan, Letonya, Litvanya, Macaristan, Makedonya, Polonya, Romanya, Slovakya, Slovenya, Türkiye</w:t>
            </w:r>
          </w:p>
        </w:tc>
        <w:tc>
          <w:tcPr>
            <w:tcW w:w="1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479D" w:rsidRPr="00CC3ACF" w:rsidRDefault="0075479D" w:rsidP="00A55A6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ACF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</w:tbl>
    <w:p w:rsidR="0075479D" w:rsidRDefault="0075479D" w:rsidP="0075479D">
      <w:pPr>
        <w:tabs>
          <w:tab w:val="left" w:pos="0"/>
          <w:tab w:val="left" w:pos="900"/>
        </w:tabs>
        <w:spacing w:after="120" w:line="276" w:lineRule="auto"/>
        <w:jc w:val="both"/>
        <w:outlineLvl w:val="1"/>
      </w:pPr>
    </w:p>
    <w:p w:rsidR="00CC3ACF" w:rsidRDefault="00CC3ACF" w:rsidP="00CC3AC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ACF" w:rsidRDefault="00CC3ACF" w:rsidP="00CC3AC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ACF" w:rsidRPr="00CC3ACF" w:rsidRDefault="00CC3ACF" w:rsidP="002A35F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CF">
        <w:rPr>
          <w:rFonts w:ascii="Times New Roman" w:hAnsi="Times New Roman" w:cs="Times New Roman"/>
          <w:sz w:val="24"/>
          <w:szCs w:val="24"/>
        </w:rPr>
        <w:lastRenderedPageBreak/>
        <w:t xml:space="preserve">Erasmus+ DUSK Konsorsiyum Staj Hareketliliği kapsamında, </w:t>
      </w:r>
      <w:r w:rsidRPr="00CC3ACF">
        <w:rPr>
          <w:rFonts w:ascii="Times New Roman" w:eastAsia="Times New Roman" w:hAnsi="Times New Roman" w:cs="Times New Roman"/>
          <w:sz w:val="24"/>
          <w:szCs w:val="24"/>
          <w:lang w:eastAsia="tr-TR"/>
        </w:rPr>
        <w:t>ülke grupları ve bu ülkelere gidecek öğrencilere verilecek aylık hibe miktarları aşağıdaki tabloda yer almaktadır: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3619"/>
        <w:gridCol w:w="1281"/>
      </w:tblGrid>
      <w:tr w:rsidR="00CC3ACF" w:rsidRPr="00CC3ACF" w:rsidTr="002A35FB">
        <w:trPr>
          <w:trHeight w:val="423"/>
          <w:jc w:val="center"/>
        </w:trPr>
        <w:tc>
          <w:tcPr>
            <w:tcW w:w="2472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b/>
                <w:bCs/>
                <w:sz w:val="22"/>
                <w:szCs w:val="23"/>
              </w:rPr>
              <w:t xml:space="preserve">Ülke grupları </w:t>
            </w:r>
          </w:p>
        </w:tc>
        <w:tc>
          <w:tcPr>
            <w:tcW w:w="3619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b/>
                <w:bCs/>
                <w:sz w:val="22"/>
                <w:szCs w:val="23"/>
              </w:rPr>
              <w:t xml:space="preserve">Hareketlilikte Misafir Olunan Ülkeler </w:t>
            </w:r>
          </w:p>
        </w:tc>
        <w:tc>
          <w:tcPr>
            <w:tcW w:w="1281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b/>
                <w:bCs/>
                <w:sz w:val="22"/>
                <w:szCs w:val="23"/>
              </w:rPr>
              <w:t xml:space="preserve">Aylık Hibe </w:t>
            </w:r>
          </w:p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b/>
                <w:bCs/>
                <w:sz w:val="22"/>
                <w:szCs w:val="23"/>
              </w:rPr>
              <w:t xml:space="preserve">Staj </w:t>
            </w:r>
          </w:p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b/>
                <w:bCs/>
                <w:sz w:val="22"/>
                <w:szCs w:val="23"/>
              </w:rPr>
              <w:t xml:space="preserve">(Avro) </w:t>
            </w:r>
          </w:p>
        </w:tc>
      </w:tr>
      <w:tr w:rsidR="00CC3ACF" w:rsidRPr="00CC3ACF" w:rsidTr="002A35FB">
        <w:trPr>
          <w:trHeight w:val="427"/>
          <w:jc w:val="center"/>
        </w:trPr>
        <w:tc>
          <w:tcPr>
            <w:tcW w:w="2472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1. Grup Program Ülkeleri </w:t>
            </w:r>
          </w:p>
        </w:tc>
        <w:tc>
          <w:tcPr>
            <w:tcW w:w="3619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Avusturya, Danimarka, Finlandiya, Fransa, İrlanda, İtalya, Lihtenştayn, Norveç, İsveç, Birleşik Krallık </w:t>
            </w:r>
          </w:p>
        </w:tc>
        <w:tc>
          <w:tcPr>
            <w:tcW w:w="1281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600 </w:t>
            </w:r>
          </w:p>
        </w:tc>
      </w:tr>
      <w:tr w:rsidR="00CC3ACF" w:rsidRPr="00CC3ACF" w:rsidTr="002A35FB">
        <w:trPr>
          <w:trHeight w:val="744"/>
          <w:jc w:val="center"/>
        </w:trPr>
        <w:tc>
          <w:tcPr>
            <w:tcW w:w="2472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2. Grup Program Ülkeleri </w:t>
            </w:r>
          </w:p>
        </w:tc>
        <w:tc>
          <w:tcPr>
            <w:tcW w:w="3619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Belçika, Hırvatistan, Çek Cumhuriyeti, Kıbrıs Rum Kesimi, Almanya, Yunanistan, İzlanda, Lüksemburg, Hollanda, Portekiz, Slovenya, İspanya, Türkiye </w:t>
            </w:r>
          </w:p>
        </w:tc>
        <w:tc>
          <w:tcPr>
            <w:tcW w:w="1281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500 </w:t>
            </w:r>
          </w:p>
        </w:tc>
      </w:tr>
      <w:tr w:rsidR="00CC3ACF" w:rsidRPr="00CC3ACF" w:rsidTr="002A35FB">
        <w:trPr>
          <w:trHeight w:val="425"/>
          <w:jc w:val="center"/>
        </w:trPr>
        <w:tc>
          <w:tcPr>
            <w:tcW w:w="2472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3. Grup Program Ülkeleri </w:t>
            </w:r>
          </w:p>
        </w:tc>
        <w:tc>
          <w:tcPr>
            <w:tcW w:w="3619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Bulgaristan, Estonya, Macaristan, Letonya, Litvanya, Malta, Polonya, Romanya, Slovakya, Makedonya </w:t>
            </w:r>
          </w:p>
        </w:tc>
        <w:tc>
          <w:tcPr>
            <w:tcW w:w="1281" w:type="dxa"/>
          </w:tcPr>
          <w:p w:rsidR="00CC3ACF" w:rsidRPr="00CC3ACF" w:rsidRDefault="00CC3ACF">
            <w:pPr>
              <w:pStyle w:val="Default"/>
              <w:rPr>
                <w:sz w:val="22"/>
                <w:szCs w:val="23"/>
              </w:rPr>
            </w:pPr>
            <w:r w:rsidRPr="00CC3ACF">
              <w:rPr>
                <w:sz w:val="22"/>
                <w:szCs w:val="23"/>
              </w:rPr>
              <w:t xml:space="preserve">400 </w:t>
            </w:r>
          </w:p>
        </w:tc>
      </w:tr>
    </w:tbl>
    <w:p w:rsidR="00CC3ACF" w:rsidRPr="0075479D" w:rsidRDefault="00CC3ACF" w:rsidP="0075479D">
      <w:pPr>
        <w:tabs>
          <w:tab w:val="left" w:pos="0"/>
          <w:tab w:val="left" w:pos="900"/>
        </w:tabs>
        <w:spacing w:after="120" w:line="276" w:lineRule="auto"/>
        <w:jc w:val="both"/>
        <w:outlineLvl w:val="1"/>
      </w:pPr>
    </w:p>
    <w:p w:rsidR="0075479D" w:rsidRDefault="0075479D" w:rsidP="0075479D">
      <w:pPr>
        <w:tabs>
          <w:tab w:val="left" w:pos="0"/>
          <w:tab w:val="left" w:pos="900"/>
        </w:tabs>
        <w:spacing w:after="120" w:line="276" w:lineRule="auto"/>
        <w:jc w:val="both"/>
        <w:outlineLvl w:val="1"/>
        <w:rPr>
          <w:rFonts w:ascii="Times New Roman" w:hAnsi="Times New Roman" w:cs="Times New Roman"/>
          <w:sz w:val="24"/>
        </w:rPr>
      </w:pPr>
      <w:r w:rsidRPr="00CC3ACF">
        <w:rPr>
          <w:rFonts w:ascii="Times New Roman" w:hAnsi="Times New Roman" w:cs="Times New Roman"/>
          <w:sz w:val="24"/>
        </w:rPr>
        <w:t xml:space="preserve">Program ülkeleri arasında öğrenim ve staj hareketliliği için öğrencilere gidiş-dönüş seyahatleri için ayrıca destek </w:t>
      </w:r>
      <w:r w:rsidRPr="00CC3ACF">
        <w:rPr>
          <w:rFonts w:ascii="Times New Roman" w:hAnsi="Times New Roman" w:cs="Times New Roman"/>
          <w:sz w:val="24"/>
          <w:u w:val="single"/>
        </w:rPr>
        <w:t>verilmemektedir</w:t>
      </w:r>
      <w:r w:rsidRPr="00CC3ACF">
        <w:rPr>
          <w:rFonts w:ascii="Times New Roman" w:hAnsi="Times New Roman" w:cs="Times New Roman"/>
          <w:sz w:val="24"/>
        </w:rPr>
        <w:t xml:space="preserve">. </w:t>
      </w:r>
    </w:p>
    <w:p w:rsidR="00CC3ACF" w:rsidRDefault="00CC3ACF" w:rsidP="0075479D">
      <w:pPr>
        <w:tabs>
          <w:tab w:val="left" w:pos="0"/>
          <w:tab w:val="left" w:pos="900"/>
        </w:tabs>
        <w:spacing w:after="120" w:line="276" w:lineRule="auto"/>
        <w:jc w:val="both"/>
        <w:outlineLvl w:val="1"/>
        <w:rPr>
          <w:rFonts w:ascii="Times New Roman" w:hAnsi="Times New Roman" w:cs="Times New Roman"/>
          <w:sz w:val="24"/>
        </w:rPr>
      </w:pPr>
    </w:p>
    <w:p w:rsidR="00CC3ACF" w:rsidRPr="00CC3ACF" w:rsidRDefault="00CC3ACF" w:rsidP="0075479D">
      <w:pPr>
        <w:tabs>
          <w:tab w:val="left" w:pos="0"/>
          <w:tab w:val="left" w:pos="900"/>
        </w:tabs>
        <w:spacing w:after="120" w:line="276" w:lineRule="auto"/>
        <w:jc w:val="both"/>
        <w:outlineLvl w:val="1"/>
        <w:rPr>
          <w:rFonts w:ascii="Times New Roman" w:hAnsi="Times New Roman" w:cs="Times New Roman"/>
          <w:sz w:val="24"/>
        </w:rPr>
      </w:pPr>
    </w:p>
    <w:p w:rsidR="00AE07E0" w:rsidRDefault="00AE07E0" w:rsidP="00C27077">
      <w:pPr>
        <w:jc w:val="both"/>
      </w:pPr>
    </w:p>
    <w:sectPr w:rsidR="00AE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F56"/>
    <w:multiLevelType w:val="multilevel"/>
    <w:tmpl w:val="BB16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C5178"/>
    <w:multiLevelType w:val="multilevel"/>
    <w:tmpl w:val="4A3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6725E"/>
    <w:multiLevelType w:val="hybridMultilevel"/>
    <w:tmpl w:val="00B0ADCC"/>
    <w:lvl w:ilvl="0" w:tplc="2430CB90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06001"/>
    <w:multiLevelType w:val="multilevel"/>
    <w:tmpl w:val="C3EC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02B03"/>
    <w:multiLevelType w:val="hybridMultilevel"/>
    <w:tmpl w:val="00BC678A"/>
    <w:lvl w:ilvl="0" w:tplc="CCF44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224EB"/>
    <w:multiLevelType w:val="multilevel"/>
    <w:tmpl w:val="2E3E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56955"/>
    <w:multiLevelType w:val="multilevel"/>
    <w:tmpl w:val="487A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B9"/>
    <w:rsid w:val="0000744B"/>
    <w:rsid w:val="000A07D0"/>
    <w:rsid w:val="002350F1"/>
    <w:rsid w:val="002A35FB"/>
    <w:rsid w:val="003F58A9"/>
    <w:rsid w:val="004308B9"/>
    <w:rsid w:val="00582D6E"/>
    <w:rsid w:val="00596028"/>
    <w:rsid w:val="0075479D"/>
    <w:rsid w:val="008D53B9"/>
    <w:rsid w:val="00A4369E"/>
    <w:rsid w:val="00A63B24"/>
    <w:rsid w:val="00AE07E0"/>
    <w:rsid w:val="00C27077"/>
    <w:rsid w:val="00C43A8A"/>
    <w:rsid w:val="00CC3ACF"/>
    <w:rsid w:val="00DD7586"/>
    <w:rsid w:val="00DE1BD8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07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160D"/>
    <w:pPr>
      <w:ind w:left="720"/>
      <w:contextualSpacing/>
    </w:pPr>
  </w:style>
  <w:style w:type="paragraph" w:customStyle="1" w:styleId="Default">
    <w:name w:val="Default"/>
    <w:rsid w:val="00CC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07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160D"/>
    <w:pPr>
      <w:ind w:left="720"/>
      <w:contextualSpacing/>
    </w:pPr>
  </w:style>
  <w:style w:type="paragraph" w:customStyle="1" w:styleId="Default">
    <w:name w:val="Default"/>
    <w:rsid w:val="00CC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FIRAT</cp:lastModifiedBy>
  <cp:revision>2</cp:revision>
  <cp:lastPrinted>2018-02-20T09:11:00Z</cp:lastPrinted>
  <dcterms:created xsi:type="dcterms:W3CDTF">2018-02-22T07:38:00Z</dcterms:created>
  <dcterms:modified xsi:type="dcterms:W3CDTF">2018-02-22T07:38:00Z</dcterms:modified>
</cp:coreProperties>
</file>