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8A" w:rsidRPr="003749CD" w:rsidRDefault="008A6F8A" w:rsidP="00052AA8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bookmarkStart w:id="0" w:name="_GoBack"/>
      <w:bookmarkEnd w:id="0"/>
      <w:r w:rsidRPr="003749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ABANT İZZET BAYSAL ÜNİVERSİTESİ’NİN DEĞERLİ ARAŞTIRMACILARI</w:t>
      </w:r>
    </w:p>
    <w:p w:rsidR="008A6F8A" w:rsidRPr="003749CD" w:rsidRDefault="008A6F8A" w:rsidP="00052AA8">
      <w:pPr>
        <w:shd w:val="clear" w:color="auto" w:fill="FFFFFF"/>
        <w:spacing w:after="150" w:line="4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Teknokentler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üretim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hizmet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sektörüne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yeni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ürünler, geliştirilmiş</w:t>
      </w:r>
      <w:r w:rsidR="003749CD"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ürünler, yeni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teknolojiler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geliştirilmiş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teknolojiler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üreterek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rekabet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gücünü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artırmaları, kalite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verimliliği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artırmaları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konularında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önemli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destekler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sağlamaktadır.</w:t>
      </w:r>
    </w:p>
    <w:p w:rsidR="008A6F8A" w:rsidRPr="003749CD" w:rsidRDefault="008A6F8A" w:rsidP="00052AA8">
      <w:pPr>
        <w:shd w:val="clear" w:color="auto" w:fill="FFFFFF"/>
        <w:spacing w:after="0" w:line="308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Üniversitelerimizde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yapılan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bilimsel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çalışmalar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uluslar arası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endekslere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gireniti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barlı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dergilerde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yer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almakta, kütüphane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raflarını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doldurmakta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ancak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sanayi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hizmet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sektörüne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çok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az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bir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miktarda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katma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değer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girişi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sağlamaktadır. Bu durum önemli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bir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kaynak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israfına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neden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olmaktadır.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Teknokentler, üniversite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sanayinin ARGE çalışması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yapması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konusunda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sağladığı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desteklerle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üniversitelerimizde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yapılan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bilimsel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çalışmaların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teknolojiye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dönüştürülmesi, bu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çalışmaların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sanayi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sektörleri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tarafından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teknolojiye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dönüştürülerek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ticarileştirilmesi, milli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ekonomiye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önemli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katma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değer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sağlaması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konusunda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hayati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önem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taşımaktadır.</w:t>
      </w:r>
    </w:p>
    <w:p w:rsidR="008A6F8A" w:rsidRPr="003749CD" w:rsidRDefault="008A6F8A" w:rsidP="00052AA8">
      <w:pPr>
        <w:shd w:val="clear" w:color="auto" w:fill="FFFFFF"/>
        <w:spacing w:after="6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6F8A" w:rsidRDefault="008A6F8A" w:rsidP="00052AA8">
      <w:pPr>
        <w:shd w:val="clear" w:color="auto" w:fill="FFFFFF"/>
        <w:spacing w:after="60" w:line="30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Teknokent’te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araştırmacı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veya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idari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personel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olarak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görev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alan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Akademisyenlere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Tanınan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Muafiyet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Destekler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Aşağıda</w:t>
      </w:r>
      <w:r w:rsid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Sıralanmıştır:</w:t>
      </w:r>
    </w:p>
    <w:p w:rsidR="00052AA8" w:rsidRPr="003749CD" w:rsidRDefault="00052AA8" w:rsidP="00052AA8">
      <w:pPr>
        <w:shd w:val="clear" w:color="auto" w:fill="FFFFFF"/>
        <w:spacing w:after="60" w:line="3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6F8A" w:rsidRPr="003749CD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Öğretim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elemanları, Üniversite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Yönetim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Kurulunun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izni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yaptıkları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araştırmaların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sonuçlarını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ticarileştirmek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amacı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bölgelerde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şirket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kurabilir, kurulu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bir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şirkete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ortak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olabilir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ve/veya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şirketlerin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yönetiminde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alabilirler.</w:t>
      </w:r>
    </w:p>
    <w:p w:rsidR="008A6F8A" w:rsidRPr="003749CD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Üniversite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personeli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kamu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kuruluşlarının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personelinden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yer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alan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faaliyetlerde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araştırmacı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idari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personel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olarak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hizmetine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ihtiyaç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duyulanlar, çalıştıkları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kuruluşların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izni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sürekli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veya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zamanlı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olarak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çalıştırılabilirler.</w:t>
      </w:r>
    </w:p>
    <w:p w:rsidR="008A6F8A" w:rsidRPr="003749CD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Bölgedeki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faaliyetlerde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alan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öğretim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üyesi, öğretim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görevlisi, araştırma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görevlisi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uzmanların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hizmetleri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karşılığı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elde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edecekleri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gelirler, üniversite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döner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sermayesi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kapsamı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dışında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tutulur.</w:t>
      </w:r>
    </w:p>
    <w:p w:rsidR="008A6F8A" w:rsidRPr="003749CD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Öğretim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elemanları 2547 sayılı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Kanunun 39 uncu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maddesinde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öngörülen yurt için</w:t>
      </w:r>
      <w:r w:rsid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deve yurt dışında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geçici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görevlendirme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esaslarına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yapacakları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çalışmaları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Üniversite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Yönetim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Kurulunun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izni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Bölgedeki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kuruluşlarda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yapabilirler.</w:t>
      </w:r>
    </w:p>
    <w:p w:rsidR="008A6F8A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Bölgedeki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faaliyetlerde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görev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almak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üzere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sürekli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olarak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istihdam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edilecek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kamu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personeline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kurumlarınca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aylıksız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verilir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kadroları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ilişkileri, emeklilik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özlük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hakları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devam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eder.</w:t>
      </w:r>
    </w:p>
    <w:p w:rsidR="00052AA8" w:rsidRPr="003749CD" w:rsidRDefault="00052AA8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8A6F8A" w:rsidRDefault="008A6F8A" w:rsidP="00052AA8">
      <w:pPr>
        <w:shd w:val="clear" w:color="auto" w:fill="FFFFFF"/>
        <w:spacing w:after="80" w:line="308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Teknokent’te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Ar-Ge faaliyeti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yürüten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kuruluşlara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Tanınan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Muafiyet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Destekler</w:t>
      </w:r>
    </w:p>
    <w:p w:rsidR="00052AA8" w:rsidRPr="003749CD" w:rsidRDefault="00052AA8" w:rsidP="00052AA8">
      <w:pPr>
        <w:shd w:val="clear" w:color="auto" w:fill="FFFFFF"/>
        <w:spacing w:after="8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sınırları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içinde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Ar-Ge faaliyeti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yürüten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kuruluşlar 4691 sayılı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Geliştirme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Bölgeleri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yasası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kapsamında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aşağıdaki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destek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muafiyetlerden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yararlanmaktadır: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Münhasıran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Ar-Ge faaliyetlerinden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elde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edilen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gelirlere 31.12.2023 tarihine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kadar %100 gelir/kurumlar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vergisi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muafiyeti,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lastRenderedPageBreak/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sınırları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içinde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Ar-Ge personeli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destek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personeli (AR-GE personeli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sayısının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yüzde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onu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kadar) ile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akademisyen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danışmanların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ücretlerine 31.12.2023 tarihine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kadar %100 stopaj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vergisi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muafiyeti,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sınırları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içinde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geliştirilen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yazılım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ürünlerinin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satışında 31.12.2023 tarihine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kadar %100 KDV muafiyeti,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Girişimciler, bölgede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başlatıp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sonuçlandırdıkları AR-GE projeleri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sonucu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elde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ettikleri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ürünlerin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üretilmesi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gerekli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yatırımı, Teknokent’in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uygun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bulması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Sanayi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Ticaret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Bakanlığının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vermesi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şartıyla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sınırları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içerisinde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yapabilirler. Söz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konusu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yatırıma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konu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teknolojik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ürünün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üretim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izin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belgeleri, ilgili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kurum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kuruluş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tarafından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Sanayi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Ticaret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Bakanlığının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görüşü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alınarak, öncelikle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verilir.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5746 sayılı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yasa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uyarınca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bünyesindeki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Ar-Ge personelinin SSK primi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işveren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hissesinin %50’si 5 yıl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süreyle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Maliye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Bakanlığı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tarafından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karşılanır.</w:t>
      </w:r>
    </w:p>
    <w:p w:rsidR="008A6F8A" w:rsidRPr="003749CD" w:rsidRDefault="008A6F8A" w:rsidP="00052AA8">
      <w:pPr>
        <w:shd w:val="clear" w:color="auto" w:fill="FFFFFF"/>
        <w:spacing w:after="80" w:line="308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·</w:t>
      </w:r>
      <w:r w:rsidRPr="003749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Teknokent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içindeki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firmalar, 4875 sayılı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Doğrudan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Yabancı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Yatırımlar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Kanunu, 4817 sayılı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Yabancıların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Çalışma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İzinleri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Hakkında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Kanun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ilgili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mevzuat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hükümleri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çerçevesinde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yabancı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uyruklu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yönetici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vasıflı AR-GE personeli</w:t>
      </w:r>
      <w:r w:rsidR="00052A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çalıştırabilir.</w:t>
      </w:r>
    </w:p>
    <w:p w:rsidR="008A6F8A" w:rsidRPr="003749CD" w:rsidRDefault="008A6F8A" w:rsidP="00052AA8">
      <w:pPr>
        <w:shd w:val="clear" w:color="auto" w:fill="FFFFFF"/>
        <w:spacing w:after="60" w:line="308" w:lineRule="atLeast"/>
        <w:ind w:left="360" w:hanging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8A6F8A" w:rsidRDefault="008A6F8A" w:rsidP="00052A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49CD">
        <w:rPr>
          <w:rFonts w:ascii="Times New Roman" w:hAnsi="Times New Roman" w:cs="Times New Roman"/>
          <w:sz w:val="24"/>
          <w:szCs w:val="24"/>
        </w:rPr>
        <w:t>Bolu Teknokent bünyesinde yukarıda açıklanan</w:t>
      </w:r>
      <w:r w:rsidR="00052AA8">
        <w:rPr>
          <w:rFonts w:ascii="Times New Roman" w:hAnsi="Times New Roman" w:cs="Times New Roman"/>
          <w:sz w:val="24"/>
          <w:szCs w:val="24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Muafiyet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ve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Destekler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yardımı</w:t>
      </w:r>
      <w:r w:rsidR="00052A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3749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ile</w:t>
      </w:r>
      <w:r w:rsidRPr="003749CD">
        <w:rPr>
          <w:rFonts w:ascii="Times New Roman" w:hAnsi="Times New Roman" w:cs="Times New Roman"/>
          <w:sz w:val="24"/>
          <w:szCs w:val="24"/>
        </w:rPr>
        <w:t xml:space="preserve"> ARGE faaliyetleri yürütülmektedir. Bolu Teknokent bünyesinde bu amaçla kullanılabilecek boş ofis alanları aşağıda sunulmuştur. Bilgilerinize rica ederim.</w:t>
      </w:r>
    </w:p>
    <w:p w:rsidR="00052AA8" w:rsidRPr="003749CD" w:rsidRDefault="00052AA8" w:rsidP="00052A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F8A" w:rsidRPr="00830D36" w:rsidRDefault="008A6F8A" w:rsidP="00052A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30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Ana Bina Boş ofis ve m2:</w:t>
      </w:r>
    </w:p>
    <w:p w:rsidR="008A6F8A" w:rsidRPr="003749CD" w:rsidRDefault="008A6F8A" w:rsidP="00052AA8">
      <w:pPr>
        <w:shd w:val="clear" w:color="auto" w:fill="FFFFFF"/>
        <w:spacing w:after="24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ofis no 3: 15 m2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ofis no 2: 9  m2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3. ofis no 5: 39 m2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4. ofis no 6: 37 m2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5. ofis no 8: 76 m2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6. ofis no 10: 80 m2</w:t>
      </w:r>
    </w:p>
    <w:p w:rsidR="008A6F8A" w:rsidRPr="003749CD" w:rsidRDefault="008A6F8A" w:rsidP="00052AA8">
      <w:pPr>
        <w:shd w:val="clear" w:color="auto" w:fill="FFFFFF"/>
        <w:spacing w:after="24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bina</w:t>
      </w:r>
      <w:r w:rsid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ofis 38 m2</w:t>
      </w:r>
    </w:p>
    <w:p w:rsidR="008A6F8A" w:rsidRPr="003749CD" w:rsidRDefault="008A6F8A" w:rsidP="00052AA8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bina</w:t>
      </w:r>
      <w:r w:rsid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30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3749C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1. ofis 24 m2</w:t>
      </w:r>
    </w:p>
    <w:p w:rsidR="008A6F8A" w:rsidRPr="003749CD" w:rsidRDefault="008A6F8A" w:rsidP="00052AA8">
      <w:pPr>
        <w:shd w:val="clear" w:color="auto" w:fill="FFFFFF"/>
        <w:spacing w:after="0" w:line="308" w:lineRule="atLeast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8A6F8A" w:rsidRPr="003749CD" w:rsidRDefault="008A6F8A" w:rsidP="00052A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49CD">
        <w:rPr>
          <w:rFonts w:ascii="Times New Roman" w:eastAsia="Times New Roman" w:hAnsi="Times New Roman" w:cs="Times New Roman"/>
          <w:b/>
          <w:color w:val="333300"/>
          <w:sz w:val="24"/>
          <w:szCs w:val="24"/>
          <w:u w:val="single"/>
          <w:lang w:eastAsia="tr-TR"/>
        </w:rPr>
        <w:t>Bolu Teknoloji Geliştirme Bölgesi:</w:t>
      </w:r>
      <w:r w:rsidRPr="003749CD">
        <w:rPr>
          <w:rFonts w:ascii="Times New Roman" w:eastAsia="Times New Roman" w:hAnsi="Times New Roman" w:cs="Times New Roman"/>
          <w:b/>
          <w:color w:val="333300"/>
          <w:sz w:val="24"/>
          <w:szCs w:val="24"/>
          <w:u w:val="single"/>
          <w:lang w:eastAsia="tr-TR"/>
        </w:rPr>
        <w:br/>
      </w:r>
      <w:r w:rsidRPr="003749CD">
        <w:rPr>
          <w:rFonts w:ascii="Times New Roman" w:eastAsia="Times New Roman" w:hAnsi="Times New Roman" w:cs="Times New Roman"/>
          <w:color w:val="333300"/>
          <w:sz w:val="24"/>
          <w:szCs w:val="24"/>
          <w:lang w:eastAsia="tr-TR"/>
        </w:rPr>
        <w:t>Kültür Mah. 1. Sk.</w:t>
      </w:r>
      <w:r w:rsidRPr="003749CD">
        <w:rPr>
          <w:rFonts w:ascii="Times New Roman" w:eastAsia="Times New Roman" w:hAnsi="Times New Roman" w:cs="Times New Roman"/>
          <w:color w:val="333300"/>
          <w:sz w:val="24"/>
          <w:szCs w:val="24"/>
          <w:lang w:eastAsia="tr-TR"/>
        </w:rPr>
        <w:br/>
        <w:t>Aibü-Şehir Kampüsü Yanı</w:t>
      </w:r>
      <w:r w:rsidRPr="003749CD">
        <w:rPr>
          <w:rFonts w:ascii="Times New Roman" w:eastAsia="Times New Roman" w:hAnsi="Times New Roman" w:cs="Times New Roman"/>
          <w:color w:val="333300"/>
          <w:sz w:val="24"/>
          <w:szCs w:val="24"/>
          <w:lang w:eastAsia="tr-TR"/>
        </w:rPr>
        <w:br/>
        <w:t>Teknokent Binası</w:t>
      </w:r>
    </w:p>
    <w:p w:rsidR="008A6F8A" w:rsidRPr="003749CD" w:rsidRDefault="00FB0E67" w:rsidP="00052A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A6F8A" w:rsidRPr="003749CD">
          <w:rPr>
            <w:rStyle w:val="Kpr"/>
            <w:rFonts w:ascii="Times New Roman" w:hAnsi="Times New Roman" w:cs="Times New Roman"/>
            <w:sz w:val="24"/>
            <w:szCs w:val="24"/>
          </w:rPr>
          <w:t>www.teknokent.ibu.edu.tr</w:t>
        </w:r>
      </w:hyperlink>
    </w:p>
    <w:p w:rsidR="008560BD" w:rsidRPr="003749CD" w:rsidRDefault="008A6F8A" w:rsidP="00052AA8">
      <w:pPr>
        <w:spacing w:after="120" w:line="240" w:lineRule="auto"/>
      </w:pPr>
      <w:r w:rsidRPr="003749CD">
        <w:rPr>
          <w:rFonts w:ascii="Times New Roman" w:hAnsi="Times New Roman" w:cs="Times New Roman"/>
          <w:sz w:val="24"/>
          <w:szCs w:val="24"/>
        </w:rPr>
        <w:t>e-mail: teknokent@ibu.edu.tr</w:t>
      </w:r>
    </w:p>
    <w:sectPr w:rsidR="008560BD" w:rsidRPr="003749CD" w:rsidSect="00796F9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B9" w:rsidRDefault="00A215B9" w:rsidP="008A6F8A">
      <w:pPr>
        <w:spacing w:after="0" w:line="240" w:lineRule="auto"/>
      </w:pPr>
      <w:r>
        <w:separator/>
      </w:r>
    </w:p>
  </w:endnote>
  <w:endnote w:type="continuationSeparator" w:id="1">
    <w:p w:rsidR="00A215B9" w:rsidRDefault="00A215B9" w:rsidP="008A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B9" w:rsidRDefault="00A215B9" w:rsidP="008A6F8A">
      <w:pPr>
        <w:spacing w:after="0" w:line="240" w:lineRule="auto"/>
      </w:pPr>
      <w:r>
        <w:separator/>
      </w:r>
    </w:p>
  </w:footnote>
  <w:footnote w:type="continuationSeparator" w:id="1">
    <w:p w:rsidR="00A215B9" w:rsidRDefault="00A215B9" w:rsidP="008A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13" w:rsidRDefault="00A215B9">
    <w:pPr>
      <w:pStyle w:val="stbilgi"/>
    </w:pPr>
  </w:p>
  <w:p w:rsidR="00887F13" w:rsidRDefault="00A215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486"/>
    <w:rsid w:val="00052AA8"/>
    <w:rsid w:val="00341AF4"/>
    <w:rsid w:val="003749CD"/>
    <w:rsid w:val="00385E22"/>
    <w:rsid w:val="00597343"/>
    <w:rsid w:val="00830D36"/>
    <w:rsid w:val="008560BD"/>
    <w:rsid w:val="008A6F8A"/>
    <w:rsid w:val="008E3C7A"/>
    <w:rsid w:val="00A215B9"/>
    <w:rsid w:val="00C11486"/>
    <w:rsid w:val="00F657AF"/>
    <w:rsid w:val="00FB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F8A"/>
  </w:style>
  <w:style w:type="paragraph" w:styleId="Altbilgi">
    <w:name w:val="footer"/>
    <w:basedOn w:val="Normal"/>
    <w:link w:val="AltbilgiChar"/>
    <w:uiPriority w:val="99"/>
    <w:unhideWhenUsed/>
    <w:rsid w:val="008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F8A"/>
  </w:style>
  <w:style w:type="paragraph" w:styleId="NormalWeb">
    <w:name w:val="Normal (Web)"/>
    <w:basedOn w:val="Normal"/>
    <w:uiPriority w:val="99"/>
    <w:unhideWhenUsed/>
    <w:rsid w:val="008A6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F8A"/>
  </w:style>
  <w:style w:type="paragraph" w:styleId="Altbilgi">
    <w:name w:val="footer"/>
    <w:basedOn w:val="Normal"/>
    <w:link w:val="AltbilgiChar"/>
    <w:uiPriority w:val="99"/>
    <w:unhideWhenUsed/>
    <w:rsid w:val="008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F8A"/>
  </w:style>
  <w:style w:type="paragraph" w:styleId="NormalWeb">
    <w:name w:val="Normal (Web)"/>
    <w:basedOn w:val="Normal"/>
    <w:uiPriority w:val="99"/>
    <w:unhideWhenUsed/>
    <w:rsid w:val="008A6F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A6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nokent.ibu.edu.t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658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Basin-Nhn</dc:creator>
  <cp:lastModifiedBy>Basin-Nhn</cp:lastModifiedBy>
  <cp:revision>4</cp:revision>
  <dcterms:created xsi:type="dcterms:W3CDTF">2014-04-16T07:34:00Z</dcterms:created>
  <dcterms:modified xsi:type="dcterms:W3CDTF">2014-04-16T07:45:00Z</dcterms:modified>
</cp:coreProperties>
</file>